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600"/>
        <w:ind w:right="0" w:left="0" w:firstLine="640"/>
        <w:jc w:val="both"/>
        <w:rPr>
          <w:rFonts w:ascii="黑体" w:hAnsi="黑体" w:cs="黑体" w:eastAsia="黑体"/>
          <w:color w:val="auto"/>
          <w:spacing w:val="0"/>
          <w:position w:val="0"/>
          <w:sz w:val="32"/>
          <w:shd w:fill="auto" w:val="clear"/>
        </w:rPr>
      </w:pPr>
    </w:p>
    <w:p>
      <w:pPr>
        <w:spacing w:before="0" w:after="0" w:line="480"/>
        <w:ind w:right="0" w:left="0" w:firstLine="0"/>
        <w:jc w:val="both"/>
        <w:rPr>
          <w:rFonts w:ascii="方正小标宋简体" w:hAnsi="方正小标宋简体" w:cs="方正小标宋简体" w:eastAsia="方正小标宋简体"/>
          <w:color w:val="auto"/>
          <w:spacing w:val="0"/>
          <w:position w:val="0"/>
          <w:sz w:val="36"/>
          <w:shd w:fill="auto" w:val="clear"/>
        </w:rPr>
      </w:pPr>
      <w:r>
        <w:rPr>
          <w:rFonts w:ascii="黑体" w:hAnsi="黑体" w:cs="黑体" w:eastAsia="黑体"/>
          <w:color w:val="auto"/>
          <w:spacing w:val="0"/>
          <w:position w:val="0"/>
          <w:sz w:val="32"/>
          <w:shd w:fill="auto" w:val="clear"/>
        </w:rPr>
        <w:t xml:space="preserve">附件3</w:t>
      </w:r>
    </w:p>
    <w:p>
      <w:pPr>
        <w:spacing w:before="0" w:after="0" w:line="560"/>
        <w:ind w:right="0" w:left="0" w:firstLine="0"/>
        <w:jc w:val="center"/>
        <w:rPr>
          <w:rFonts w:ascii="方正小标宋简体" w:hAnsi="方正小标宋简体" w:cs="方正小标宋简体" w:eastAsia="方正小标宋简体"/>
          <w:color w:val="auto"/>
          <w:spacing w:val="0"/>
          <w:position w:val="0"/>
          <w:sz w:val="36"/>
          <w:shd w:fill="auto" w:val="clear"/>
        </w:rPr>
      </w:pPr>
      <w:r>
        <w:rPr>
          <w:rFonts w:ascii="方正小标宋简体" w:hAnsi="方正小标宋简体" w:cs="方正小标宋简体" w:eastAsia="方正小标宋简体"/>
          <w:color w:val="auto"/>
          <w:spacing w:val="0"/>
          <w:position w:val="0"/>
          <w:sz w:val="36"/>
          <w:shd w:fill="auto" w:val="clear"/>
        </w:rPr>
        <w:t xml:space="preserve">中国人民政治协商会议北京市朝阳区委员会</w:t>
      </w:r>
    </w:p>
    <w:p>
      <w:pPr>
        <w:spacing w:before="0" w:after="0" w:line="560"/>
        <w:ind w:right="0" w:left="0" w:firstLine="0"/>
        <w:jc w:val="center"/>
        <w:rPr>
          <w:rFonts w:ascii="方正小标宋简体" w:hAnsi="方正小标宋简体" w:cs="方正小标宋简体" w:eastAsia="方正小标宋简体"/>
          <w:color w:val="auto"/>
          <w:spacing w:val="0"/>
          <w:position w:val="0"/>
          <w:sz w:val="36"/>
          <w:shd w:fill="auto" w:val="clear"/>
        </w:rPr>
      </w:pPr>
      <w:r>
        <w:rPr>
          <w:rFonts w:ascii="方正小标宋简体" w:hAnsi="方正小标宋简体" w:cs="方正小标宋简体" w:eastAsia="方正小标宋简体"/>
          <w:color w:val="auto"/>
          <w:spacing w:val="0"/>
          <w:position w:val="0"/>
          <w:sz w:val="36"/>
          <w:shd w:fill="auto" w:val="clear"/>
        </w:rPr>
        <w:t xml:space="preserve">部门整体绩效评价报告</w:t>
      </w:r>
    </w:p>
    <w:p>
      <w:pPr>
        <w:spacing w:before="0" w:after="0" w:line="240"/>
        <w:ind w:right="0" w:left="0" w:firstLine="0"/>
        <w:jc w:val="center"/>
        <w:rPr>
          <w:rFonts w:ascii="仿宋_GB2312" w:hAnsi="仿宋_GB2312" w:cs="仿宋_GB2312" w:eastAsia="仿宋_GB2312"/>
          <w:color w:val="auto"/>
          <w:spacing w:val="0"/>
          <w:position w:val="0"/>
          <w:sz w:val="21"/>
          <w:shd w:fill="auto" w:val="clear"/>
        </w:rPr>
      </w:pPr>
    </w:p>
    <w:p>
      <w:pPr>
        <w:spacing w:before="0" w:after="0" w:line="600"/>
        <w:ind w:right="0" w:left="0" w:firstLine="640"/>
        <w:jc w:val="both"/>
        <w:rPr>
          <w:rFonts w:ascii="黑体" w:hAnsi="黑体" w:cs="黑体" w:eastAsia="黑体"/>
          <w:color w:val="000000"/>
          <w:spacing w:val="0"/>
          <w:position w:val="0"/>
          <w:sz w:val="32"/>
          <w:shd w:fill="auto" w:val="clear"/>
        </w:rPr>
      </w:pPr>
      <w:r>
        <w:rPr>
          <w:rFonts w:ascii="黑体" w:hAnsi="黑体" w:cs="黑体" w:eastAsia="黑体"/>
          <w:color w:val="000000"/>
          <w:spacing w:val="0"/>
          <w:position w:val="0"/>
          <w:sz w:val="32"/>
          <w:shd w:fill="auto" w:val="clear"/>
        </w:rPr>
        <w:t xml:space="preserve">一、部门概况</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（一）机构设置及职责工作任务情况</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区政协机关是区政协的工作机构，承担为区政协履行政治协商、民主监督、参政议政等职能服务的各项工作。其主要职责是：</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（1）负责区政协全体会议、常务委员会会议、主席会议和专门委员会会议的会务工作。</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（2）组织实施区政协全体会议、常务委员会会议、主席会议的决议、决定。</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（3）组织委员视察、参观和调查，就本区各项事业的改革与发展及群众生活的重要问题进行研究，通过建议案、提案和其他形式向有关部门提出批评和建议，推动本区改革开放和社会主义现代化建设。</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（4）组织委员学习交流，不断提高履行职能的水平；研究统一战线和人民政协的理论、政策，提出人民政协履行职能的工作建议。</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（5）负责与市政协办公厅及区委、区政府有关部门的工作联系；广泛团结本区各党派、团体和各族各界人士，反映他们及所联系群众的意见和要求。</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（6）负责区政协工作的宣传报道和信息工作，收集、反映社情民意。</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（7）承办市政协及区委交办的其他工作。</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（二）部门整体绩效目标设立情况</w:t>
      </w:r>
    </w:p>
    <w:p>
      <w:pPr>
        <w:spacing w:before="0" w:after="0" w:line="600"/>
        <w:ind w:right="0" w:left="0" w:firstLine="64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深入学习贯彻习近平新时代中国特色社会主义思想，深入贯彻落实习近平总书记关于加强和改进人民政协工作的重要思想和党的十九届六中全会精神，坚持中国共产党的领导，坚持人民政协性质定位，牢牢把握团结和民主两大主题，把加强思想政治引领、广泛凝聚共识作为中心环节，聚焦事关朝阳区改革发展稳定的重要问题和人民群众普遍关心的热点难点问题协商议政，努力实现从偏重数量和形式向注重质量和效果转变，使政协工作不断适应新时代党和国家事业发展新要求，不断顺应首都各族各界群众新期待，不断助力朝阳区各项事业新发展，把党对人民政协的要求落实好，把各方力量智慧和力量凝聚起来，为建设国际一流和谐宜居之都不懈奋斗。</w:t>
      </w:r>
    </w:p>
    <w:p>
      <w:pPr>
        <w:spacing w:before="0" w:after="0" w:line="600"/>
        <w:ind w:right="0" w:left="0" w:firstLine="640"/>
        <w:jc w:val="both"/>
        <w:rPr>
          <w:rFonts w:ascii="黑体" w:hAnsi="黑体" w:cs="黑体" w:eastAsia="黑体"/>
          <w:color w:val="000000"/>
          <w:spacing w:val="0"/>
          <w:position w:val="0"/>
          <w:sz w:val="32"/>
          <w:shd w:fill="auto" w:val="clear"/>
        </w:rPr>
      </w:pPr>
      <w:r>
        <w:rPr>
          <w:rFonts w:ascii="黑体" w:hAnsi="黑体" w:cs="黑体" w:eastAsia="黑体"/>
          <w:color w:val="000000"/>
          <w:spacing w:val="0"/>
          <w:position w:val="0"/>
          <w:sz w:val="32"/>
          <w:shd w:fill="auto" w:val="clear"/>
        </w:rPr>
        <w:t xml:space="preserve">二、当年预算执行情况</w:t>
      </w:r>
    </w:p>
    <w:p>
      <w:pPr>
        <w:spacing w:before="0" w:after="0" w:line="600"/>
        <w:ind w:right="0" w:left="0" w:firstLine="64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2023年全年预算数</w:t>
      </w:r>
      <w:r>
        <w:rPr>
          <w:rFonts w:ascii="仿宋_GB2312" w:hAnsi="仿宋_GB2312" w:cs="仿宋_GB2312" w:eastAsia="仿宋_GB2312"/>
          <w:color w:val="auto"/>
          <w:spacing w:val="0"/>
          <w:position w:val="0"/>
          <w:sz w:val="32"/>
          <w:shd w:fill="auto" w:val="clear"/>
        </w:rPr>
        <w:t xml:space="preserve">3031.56</w:t>
      </w:r>
      <w:r>
        <w:rPr>
          <w:rFonts w:ascii="仿宋_GB2312" w:hAnsi="仿宋_GB2312" w:cs="仿宋_GB2312" w:eastAsia="仿宋_GB2312"/>
          <w:color w:val="000000"/>
          <w:spacing w:val="0"/>
          <w:position w:val="0"/>
          <w:sz w:val="32"/>
          <w:shd w:fill="auto" w:val="clear"/>
        </w:rPr>
        <w:t xml:space="preserve">万元，其中，基本支出预算数1941.90万元，项目支出预算数1089.66万元，其他支出预算数0万元。资金总体支出3019.73万元，其中，基本支出</w:t>
      </w:r>
      <w:r>
        <w:rPr>
          <w:rFonts w:ascii="仿宋_GB2312" w:hAnsi="仿宋_GB2312" w:cs="仿宋_GB2312" w:eastAsia="仿宋_GB2312"/>
          <w:color w:val="000000"/>
          <w:spacing w:val="0"/>
          <w:position w:val="0"/>
          <w:sz w:val="32"/>
          <w:shd w:fill="auto" w:val="clear"/>
        </w:rPr>
        <w:t xml:space="preserve">1845.21</w:t>
      </w:r>
      <w:r>
        <w:rPr>
          <w:rFonts w:ascii="仿宋_GB2312" w:hAnsi="仿宋_GB2312" w:cs="仿宋_GB2312" w:eastAsia="仿宋_GB2312"/>
          <w:color w:val="000000"/>
          <w:spacing w:val="0"/>
          <w:position w:val="0"/>
          <w:sz w:val="32"/>
          <w:shd w:fill="auto" w:val="clear"/>
        </w:rPr>
        <w:t xml:space="preserve">万元，项目支出</w:t>
      </w:r>
      <w:r>
        <w:rPr>
          <w:rFonts w:ascii="仿宋_GB2312" w:hAnsi="仿宋_GB2312" w:cs="仿宋_GB2312" w:eastAsia="仿宋_GB2312"/>
          <w:color w:val="000000"/>
          <w:spacing w:val="0"/>
          <w:position w:val="0"/>
          <w:sz w:val="32"/>
          <w:shd w:fill="auto" w:val="clear"/>
        </w:rPr>
        <w:t xml:space="preserve">1174.52</w:t>
      </w:r>
      <w:r>
        <w:rPr>
          <w:rFonts w:ascii="仿宋_GB2312" w:hAnsi="仿宋_GB2312" w:cs="仿宋_GB2312" w:eastAsia="仿宋_GB2312"/>
          <w:color w:val="000000"/>
          <w:spacing w:val="0"/>
          <w:position w:val="0"/>
          <w:sz w:val="32"/>
          <w:shd w:fill="auto" w:val="clear"/>
        </w:rPr>
        <w:t xml:space="preserve">万元，其他支出0万元。</w:t>
      </w:r>
    </w:p>
    <w:p>
      <w:pPr>
        <w:spacing w:before="0" w:after="0" w:line="600"/>
        <w:ind w:right="0" w:left="105" w:firstLine="480"/>
        <w:jc w:val="both"/>
        <w:rPr>
          <w:rFonts w:ascii="黑体" w:hAnsi="黑体" w:cs="黑体" w:eastAsia="黑体"/>
          <w:color w:val="000000"/>
          <w:spacing w:val="0"/>
          <w:position w:val="0"/>
          <w:sz w:val="32"/>
          <w:shd w:fill="auto" w:val="clear"/>
        </w:rPr>
      </w:pPr>
      <w:r>
        <w:rPr>
          <w:rFonts w:ascii="黑体" w:hAnsi="黑体" w:cs="黑体" w:eastAsia="黑体"/>
          <w:color w:val="000000"/>
          <w:spacing w:val="0"/>
          <w:position w:val="0"/>
          <w:sz w:val="32"/>
          <w:shd w:fill="auto" w:val="clear"/>
        </w:rPr>
        <w:t xml:space="preserve">三、整体绩效目标实现情况</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（一）产出完成情况分析</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Times New Roman" w:hAnsi="Times New Roman" w:cs="Times New Roman" w:eastAsia="Times New Roman"/>
          <w:color w:val="auto"/>
          <w:spacing w:val="0"/>
          <w:position w:val="0"/>
          <w:sz w:val="32"/>
          <w:shd w:fill="auto" w:val="clear"/>
        </w:rPr>
        <w:t xml:space="preserve">2023</w:t>
      </w:r>
      <w:r>
        <w:rPr>
          <w:rFonts w:ascii="仿宋_GB2312" w:hAnsi="仿宋_GB2312" w:cs="仿宋_GB2312" w:eastAsia="仿宋_GB2312"/>
          <w:color w:val="auto"/>
          <w:spacing w:val="0"/>
          <w:position w:val="0"/>
          <w:sz w:val="32"/>
          <w:shd w:fill="auto" w:val="clear"/>
        </w:rPr>
        <w:t xml:space="preserve">年，是全面贯彻中共二十大精神的开局之年。一年来，在中共朝阳区委领导下，区政协常委会以习近平新时代中国特色社会主义思想为指导，深入学习贯彻中共二十大精神和习近平总书记对北京一系列重要讲话精神，坚持正确政治方向，坚持人民政协性质定位，坚持服务中心大局，围绕推动朝阳高质量发展和“五宜”朝阳建设，突出讲政治、讲民主、讲团结、讲担当、讲效能，切实履行专门协商机构职能，在新时代新征程上展现了政协新形象，做出了政协新贡献。</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（二）效果实现情况分析</w:t>
      </w:r>
    </w:p>
    <w:p>
      <w:pPr>
        <w:spacing w:before="0" w:after="0" w:line="600"/>
        <w:ind w:right="0" w:left="105" w:firstLine="480"/>
        <w:jc w:val="both"/>
        <w:rPr>
          <w:rFonts w:ascii="黑体" w:hAnsi="黑体" w:cs="黑体" w:eastAsia="黑体"/>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一年来，在中共朝阳区委领导下，区政协常委会以习近平新时代中国特色社会主义思想为指引，紧抓贯彻落实中共中央办公厅《关于加强和改进新时代市县政协工作的意见》和市委、区委配套文件的契机，坚持围绕中心、服务大局，坚持党的领导、统一战线、协商民主有机结合，坚持发扬民主和增进团结相互贯通、建言资政和凝聚共识双向发力，充分发挥人民政协作为专门协商机构作用，守正创新，凝心聚力，勇担使命，为朝阳区各项事业发展作出政协新贡献。</w:t>
      </w:r>
      <w:r>
        <w:rPr>
          <w:rFonts w:ascii="黑体" w:hAnsi="黑体" w:cs="黑体" w:eastAsia="黑体"/>
          <w:color w:val="000000"/>
          <w:spacing w:val="0"/>
          <w:position w:val="0"/>
          <w:sz w:val="32"/>
          <w:shd w:fill="auto" w:val="clear"/>
        </w:rPr>
        <w:t xml:space="preserve">四、预算管理情况分析</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（一）财务管理</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1.财务管理制度健全性</w:t>
      </w:r>
    </w:p>
    <w:p>
      <w:pPr>
        <w:spacing w:before="0" w:after="0" w:line="240"/>
        <w:ind w:right="0" w:left="0" w:firstLine="56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auto"/>
          <w:spacing w:val="0"/>
          <w:position w:val="0"/>
          <w:sz w:val="32"/>
          <w:shd w:fill="auto" w:val="clear"/>
        </w:rPr>
        <w:t xml:space="preserve">不断加大财务管理制度化、规范化、程序化水平。于2023年底修订完善了《政协北京市朝阳区委员会机关财务管理办法》《朝阳区政协机关走访看望政协委员支出管理办法》《朝阳区政协机关慰问活动经费管理办法》，明确各项活动申请流程及报销依据。</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2.资金使用合规性和安全性</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加强现金、银行存款管理，严格按照资金管理各项法规条例执行。</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3.会计基础信息完善性</w:t>
      </w:r>
    </w:p>
    <w:p>
      <w:pPr>
        <w:spacing w:before="0" w:after="0" w:line="600"/>
        <w:ind w:right="0" w:left="105" w:firstLine="480"/>
        <w:jc w:val="both"/>
        <w:rPr>
          <w:rFonts w:ascii="仿宋_GB2312" w:hAnsi="仿宋_GB2312" w:cs="仿宋_GB2312" w:eastAsia="仿宋_GB2312"/>
          <w:color w:val="000000"/>
          <w:spacing w:val="0"/>
          <w:position w:val="0"/>
          <w:sz w:val="32"/>
          <w:shd w:fill="auto" w:val="clear"/>
        </w:rPr>
      </w:pPr>
      <w:r>
        <w:rPr>
          <w:rFonts w:ascii="仿宋_GB2312" w:hAnsi="仿宋_GB2312" w:cs="仿宋_GB2312" w:eastAsia="仿宋_GB2312"/>
          <w:color w:val="000000"/>
          <w:spacing w:val="0"/>
          <w:position w:val="0"/>
          <w:sz w:val="32"/>
          <w:shd w:fill="auto" w:val="clear"/>
        </w:rPr>
        <w:t xml:space="preserve">加强会计核算学习、完善内控管理体系。</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（二）资产管理</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建立健全固定资产管理制度，加强固定资产动态库管理，定期盘点，计提折旧和摊销。</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（三）绩效管理</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加强绩效管理，按财政部门要求及时进行预算公开，建立“预算编制有目标，预算执行有监控，预算完成有评价”的全过程预算绩效管理机制。</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（四）结转结余率</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提高资金使用效率，2023年我单位无财政结转和结余资金</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（五）部门预决算差异率</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依据批复的预算安排各类收支，确保预算严格有效执行。加强决算管理，强化决算分析结果运用，建立健全单位预算与决算相互反映、相互促进的机制。</w:t>
      </w:r>
    </w:p>
    <w:p>
      <w:pPr>
        <w:spacing w:before="0" w:after="0" w:line="600"/>
        <w:ind w:right="0" w:left="105" w:firstLine="480"/>
        <w:jc w:val="both"/>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五、总体评价结论</w:t>
      </w:r>
    </w:p>
    <w:p>
      <w:pPr>
        <w:spacing w:before="0" w:after="0" w:line="600"/>
        <w:ind w:right="0" w:left="105" w:firstLine="48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全部完成2023年部门绩效目标</w:t>
      </w:r>
    </w:p>
    <w:p>
      <w:pPr>
        <w:spacing w:before="0" w:after="0" w:line="600"/>
        <w:ind w:right="0" w:left="0" w:firstLine="640"/>
        <w:jc w:val="both"/>
        <w:rPr>
          <w:rFonts w:ascii="仿宋_GB2312" w:hAnsi="仿宋_GB2312" w:cs="仿宋_GB2312" w:eastAsia="仿宋_GB2312"/>
          <w:color w:val="000000"/>
          <w:spacing w:val="0"/>
          <w:position w:val="0"/>
          <w:sz w:val="32"/>
          <w:shd w:fill="auto" w:val="clear"/>
        </w:rPr>
      </w:pPr>
      <w:r>
        <w:rPr>
          <w:rFonts w:ascii="黑体" w:hAnsi="黑体" w:cs="黑体" w:eastAsia="黑体"/>
          <w:color w:val="000000"/>
          <w:spacing w:val="0"/>
          <w:position w:val="0"/>
          <w:sz w:val="32"/>
          <w:shd w:fill="auto" w:val="clear"/>
        </w:rPr>
        <w:t xml:space="preserve">六、措施建议</w:t>
      </w:r>
      <w:r>
        <w:rPr>
          <w:rFonts w:ascii="仿宋_GB2312" w:hAnsi="仿宋_GB2312" w:cs="仿宋_GB2312" w:eastAsia="仿宋_GB2312"/>
          <w:color w:val="000000"/>
          <w:spacing w:val="0"/>
          <w:position w:val="0"/>
          <w:sz w:val="32"/>
          <w:shd w:fill="auto" w:val="clear"/>
        </w:rPr>
        <w:t xml:space="preserve">（整改措施、下一步工作举措）</w:t>
      </w:r>
    </w:p>
    <w:p>
      <w:pPr>
        <w:spacing w:before="0" w:after="0" w:line="24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1.</w:t>
      </w:r>
      <w:r>
        <w:rPr>
          <w:rFonts w:ascii="Times New Roman" w:hAnsi="Times New Roman" w:cs="Times New Roman" w:eastAsia="Times New Roman"/>
          <w:color w:val="auto"/>
          <w:spacing w:val="0"/>
          <w:position w:val="0"/>
          <w:sz w:val="21"/>
          <w:shd w:fill="auto" w:val="clear"/>
        </w:rPr>
        <w:t xml:space="preserve"> </w:t>
      </w:r>
      <w:r>
        <w:rPr>
          <w:rFonts w:ascii="楷体_GB2312" w:hAnsi="楷体_GB2312" w:cs="楷体_GB2312" w:eastAsia="楷体_GB2312"/>
          <w:color w:val="auto"/>
          <w:spacing w:val="0"/>
          <w:position w:val="0"/>
          <w:sz w:val="32"/>
          <w:shd w:fill="auto" w:val="clear"/>
        </w:rPr>
        <w:t xml:space="preserve">建议加大对基层行政单位绩效管理工作的培训和指导力度，进一步完善各单位自身绩效管理制度，提高单位绩效管理能力。</w:t>
      </w:r>
    </w:p>
    <w:p>
      <w:pPr>
        <w:spacing w:before="0" w:after="0" w:line="600"/>
        <w:ind w:right="0" w:left="0" w:firstLine="640"/>
        <w:jc w:val="both"/>
        <w:rPr>
          <w:rFonts w:ascii="楷体_GB2312" w:hAnsi="楷体_GB2312" w:cs="楷体_GB2312" w:eastAsia="楷体_GB2312"/>
          <w:color w:val="auto"/>
          <w:spacing w:val="0"/>
          <w:position w:val="0"/>
          <w:sz w:val="32"/>
          <w:shd w:fill="auto" w:val="clear"/>
        </w:rPr>
      </w:pPr>
      <w:r>
        <w:rPr>
          <w:rFonts w:ascii="楷体_GB2312" w:hAnsi="楷体_GB2312" w:cs="楷体_GB2312" w:eastAsia="楷体_GB2312"/>
          <w:color w:val="auto"/>
          <w:spacing w:val="0"/>
          <w:position w:val="0"/>
          <w:sz w:val="32"/>
          <w:shd w:fill="auto" w:val="clear"/>
        </w:rPr>
        <w:t xml:space="preserve">2.</w:t>
      </w:r>
      <w:r>
        <w:rPr>
          <w:rFonts w:ascii="仿宋_GB2312" w:hAnsi="仿宋_GB2312" w:cs="仿宋_GB2312" w:eastAsia="仿宋_GB2312"/>
          <w:color w:val="000000"/>
          <w:spacing w:val="0"/>
          <w:position w:val="0"/>
          <w:sz w:val="32"/>
          <w:shd w:fill="auto" w:val="clear"/>
        </w:rPr>
        <w:t xml:space="preserve"> 加强部门绩效数据分析利用工作、部门绩效信息化建设，部门绩效与一体化系统无缝对接建设工作。</w:t>
      </w:r>
    </w:p>
    <w:p>
      <w:pPr>
        <w:spacing w:before="0" w:after="0" w:line="600"/>
        <w:ind w:right="0" w:left="0" w:firstLine="640"/>
        <w:jc w:val="both"/>
        <w:rPr>
          <w:rFonts w:ascii="仿宋_GB2312" w:hAnsi="仿宋_GB2312" w:cs="仿宋_GB2312" w:eastAsia="仿宋_GB2312"/>
          <w:color w:val="000000"/>
          <w:spacing w:val="0"/>
          <w:position w:val="0"/>
          <w:sz w:val="3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r>
        <w:rPr>
          <w:rFonts w:ascii="方正小标宋简体" w:hAnsi="方正小标宋简体" w:cs="方正小标宋简体" w:eastAsia="方正小标宋简体"/>
          <w:color w:val="auto"/>
          <w:spacing w:val="0"/>
          <w:position w:val="0"/>
          <w:sz w:val="36"/>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